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C5" w:rsidRPr="007E51C5" w:rsidRDefault="007E51C5" w:rsidP="007E51C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1D1C1A"/>
          <w:sz w:val="24"/>
          <w:szCs w:val="24"/>
          <w:lang w:eastAsia="es-MX"/>
        </w:rPr>
        <w:t>Tarifa para el cálculo del impuesto correspondiente al ejercicio 2018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1D1C1A"/>
          <w:sz w:val="24"/>
          <w:szCs w:val="24"/>
          <w:lang w:eastAsia="es-MX"/>
        </w:rPr>
        <w:t>(DOF 29 de diciembre de 2017)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1D1C1A"/>
          <w:sz w:val="24"/>
          <w:szCs w:val="24"/>
          <w:lang w:eastAsia="es-MX"/>
        </w:rPr>
        <w:t> 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1D1C1A"/>
          <w:sz w:val="24"/>
          <w:szCs w:val="24"/>
          <w:lang w:eastAsia="es-MX"/>
        </w:rPr>
        <w:t> 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372"/>
        <w:gridCol w:w="2114"/>
        <w:gridCol w:w="4032"/>
      </w:tblGrid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Límite inferior</w:t>
            </w:r>
          </w:p>
          <w:p w:rsidR="007E51C5" w:rsidRPr="007E51C5" w:rsidRDefault="007E51C5" w:rsidP="007E51C5">
            <w:pPr>
              <w:spacing w:before="240"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Límite superior</w:t>
            </w:r>
          </w:p>
          <w:p w:rsidR="007E51C5" w:rsidRPr="007E51C5" w:rsidRDefault="007E51C5" w:rsidP="007E51C5">
            <w:pPr>
              <w:spacing w:before="240"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Cuota fija</w:t>
            </w:r>
          </w:p>
          <w:p w:rsidR="007E51C5" w:rsidRPr="007E51C5" w:rsidRDefault="007E51C5" w:rsidP="007E51C5">
            <w:pPr>
              <w:spacing w:before="240"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Por ciento para aplicarse sobre</w:t>
            </w:r>
          </w:p>
          <w:p w:rsidR="007E51C5" w:rsidRPr="007E51C5" w:rsidRDefault="007E51C5" w:rsidP="007E51C5">
            <w:pPr>
              <w:spacing w:before="240" w:after="240" w:line="240" w:lineRule="auto"/>
              <w:ind w:right="555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el excedente del límite inferior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%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6,942.20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6,942.21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58,922.16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133.28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6.40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58,922.17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103,550.44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3,460.01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10.88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103,550.45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120,372.83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8,315.57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16.00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120,372.84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144,119.23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11,007.14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17.92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144,119.24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290,667.75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15,262.49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21.36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290,667.76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458,132.29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46,565.26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23.52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458,132.30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874,650.00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85,952.92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874,650.01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1,166,200.00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210,908.23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32.00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1,166,200.01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3,498,600.00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304,204.21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34.00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3,498,600.01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En adelante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1,097,220.21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240" w:line="240" w:lineRule="auto"/>
              <w:ind w:right="555"/>
              <w:jc w:val="center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35.00</w:t>
            </w:r>
          </w:p>
        </w:tc>
      </w:tr>
    </w:tbl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1D1C1A"/>
          <w:sz w:val="24"/>
          <w:szCs w:val="24"/>
          <w:lang w:eastAsia="es-MX"/>
        </w:rPr>
        <w:t> </w:t>
      </w:r>
    </w:p>
    <w:p w:rsidR="00DE7D85" w:rsidRDefault="00DE7D85"/>
    <w:p w:rsidR="007E51C5" w:rsidRPr="007E51C5" w:rsidRDefault="007E51C5" w:rsidP="007E51C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993300"/>
          <w:sz w:val="24"/>
          <w:szCs w:val="24"/>
          <w:lang w:eastAsia="es-MX"/>
        </w:rPr>
        <w:t>Tarifa para el cálculo del impuesto correspondiente al ejercicio 2017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993300"/>
          <w:sz w:val="24"/>
          <w:szCs w:val="24"/>
          <w:lang w:eastAsia="es-MX"/>
        </w:rPr>
        <w:t> </w:t>
      </w:r>
      <w:r w:rsidRPr="007E51C5">
        <w:rPr>
          <w:rFonts w:ascii="Arial" w:eastAsia="Times New Roman" w:hAnsi="Arial" w:cs="Arial"/>
          <w:b/>
          <w:bCs/>
          <w:color w:val="993300"/>
          <w:sz w:val="24"/>
          <w:szCs w:val="24"/>
          <w:lang w:eastAsia="es-MX"/>
        </w:rPr>
        <w:t>(DOF del 5 de enero de 2017)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1D1C1A"/>
          <w:sz w:val="24"/>
          <w:szCs w:val="24"/>
          <w:lang w:eastAsia="es-MX"/>
        </w:rPr>
        <w:t> </w:t>
      </w:r>
    </w:p>
    <w:tbl>
      <w:tblPr>
        <w:tblW w:w="6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557"/>
        <w:gridCol w:w="1363"/>
        <w:gridCol w:w="2030"/>
      </w:tblGrid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lastRenderedPageBreak/>
              <w:t>Límite inferior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Límite superior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Cuota fija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Por ciento para aplicarse sobre el excedente del límite inferior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%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114.29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6.40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2,966.91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10.88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7,130.48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9,438.47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13,087.37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21.36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39,929.05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23.52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73,703.41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180,850.82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260,850.81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34.00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 adelante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940,850.81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35.00</w:t>
            </w:r>
          </w:p>
        </w:tc>
      </w:tr>
    </w:tbl>
    <w:p w:rsidR="007E51C5" w:rsidRDefault="007E51C5"/>
    <w:p w:rsidR="007E51C5" w:rsidRDefault="007E51C5"/>
    <w:p w:rsidR="007E51C5" w:rsidRPr="007E51C5" w:rsidRDefault="007E51C5" w:rsidP="007E51C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993300"/>
          <w:sz w:val="24"/>
          <w:szCs w:val="24"/>
          <w:lang w:eastAsia="es-MX"/>
        </w:rPr>
        <w:t>Tarifa para el cálculo del impuesto correspondiente al ejercicio 2016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993300"/>
          <w:sz w:val="24"/>
          <w:szCs w:val="24"/>
          <w:lang w:eastAsia="es-MX"/>
        </w:rPr>
        <w:t> </w:t>
      </w:r>
      <w:r w:rsidRPr="007E51C5">
        <w:rPr>
          <w:rFonts w:ascii="Arial" w:eastAsia="Times New Roman" w:hAnsi="Arial" w:cs="Arial"/>
          <w:b/>
          <w:bCs/>
          <w:color w:val="993300"/>
          <w:sz w:val="24"/>
          <w:szCs w:val="24"/>
          <w:lang w:eastAsia="es-MX"/>
        </w:rPr>
        <w:t>(DOF del 12 de enero de 2016)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993300"/>
          <w:sz w:val="24"/>
          <w:szCs w:val="24"/>
          <w:lang w:eastAsia="es-MX"/>
        </w:rPr>
        <w:t> </w:t>
      </w:r>
    </w:p>
    <w:tbl>
      <w:tblPr>
        <w:tblW w:w="8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875"/>
        <w:gridCol w:w="1665"/>
        <w:gridCol w:w="3225"/>
      </w:tblGrid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Límite inferior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Límite superior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Cuota fija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Por ciento para aplicarse sobre el excedente del límite inferior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%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114.29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6.40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2,966.91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10.88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7,130.48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9,438.47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13,087.37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21.36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39,929.05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23.52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73,703.41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180,850.82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260,850.81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34.00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 adelante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940,850.81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35.00</w:t>
            </w:r>
          </w:p>
        </w:tc>
      </w:tr>
    </w:tbl>
    <w:p w:rsidR="007E51C5" w:rsidRDefault="007E51C5"/>
    <w:p w:rsidR="007E51C5" w:rsidRDefault="007E51C5"/>
    <w:p w:rsidR="007E51C5" w:rsidRDefault="007E51C5"/>
    <w:p w:rsidR="007E51C5" w:rsidRPr="007E51C5" w:rsidRDefault="007E51C5" w:rsidP="007E51C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MX"/>
        </w:rPr>
        <w:lastRenderedPageBreak/>
        <w:t>Tarifa para el cálculo del impuesto correspondiente al ejercicio 2015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1D1C1A"/>
          <w:sz w:val="24"/>
          <w:szCs w:val="24"/>
          <w:lang w:eastAsia="es-MX"/>
        </w:rPr>
        <w:t> </w:t>
      </w:r>
    </w:p>
    <w:tbl>
      <w:tblPr>
        <w:tblW w:w="87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875"/>
        <w:gridCol w:w="1665"/>
        <w:gridCol w:w="3225"/>
      </w:tblGrid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Límite inferior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Límite superior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Cuota fija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Por ciento para aplicarse sobre el excedente del límite inferior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%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114.29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6.40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2,966.91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10.88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7,130.48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9,438.47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13,087.37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21.36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39,929.05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23.52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392,841.97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73,703.41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180,850.82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260,850.81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34.00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 adelante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940,850.81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35.00</w:t>
            </w:r>
          </w:p>
        </w:tc>
      </w:tr>
    </w:tbl>
    <w:p w:rsidR="007E51C5" w:rsidRDefault="007E51C5"/>
    <w:p w:rsidR="007E51C5" w:rsidRDefault="007E51C5"/>
    <w:p w:rsidR="007E51C5" w:rsidRDefault="007E51C5"/>
    <w:p w:rsidR="007E51C5" w:rsidRPr="007E51C5" w:rsidRDefault="007E51C5" w:rsidP="007E51C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1D1C1A"/>
          <w:sz w:val="24"/>
          <w:szCs w:val="24"/>
          <w:lang w:eastAsia="es-MX"/>
        </w:rPr>
        <w:br/>
        <w:t>Tarifa para el cálculo del impuesto correspondiente al ejercicio 2014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b/>
          <w:bCs/>
          <w:color w:val="1D1C1A"/>
          <w:sz w:val="24"/>
          <w:szCs w:val="24"/>
          <w:lang w:eastAsia="es-MX"/>
        </w:rPr>
        <w:t>(DOF 3 de enero de 2014)</w:t>
      </w:r>
    </w:p>
    <w:p w:rsidR="007E51C5" w:rsidRPr="007E51C5" w:rsidRDefault="007E51C5" w:rsidP="007E51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1D1C1A"/>
          <w:sz w:val="24"/>
          <w:szCs w:val="24"/>
          <w:lang w:eastAsia="es-MX"/>
        </w:rPr>
        <w:t> </w:t>
      </w:r>
    </w:p>
    <w:tbl>
      <w:tblPr>
        <w:tblW w:w="119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2586"/>
        <w:gridCol w:w="2360"/>
        <w:gridCol w:w="4228"/>
      </w:tblGrid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Límite inferior  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Límite superior  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Cuota fija  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Por ciento para aplicarse sobre el excedente del límite inferior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%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5,952.84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5,952.85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50,524.92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114.29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6.40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50,524.93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88,793.04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2,966.91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10.88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88,793.05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103,218.00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7,130.48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16.00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103,218.01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123,580.20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9,438.47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17.92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123,580.21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249,243.48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13,087.37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21.36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249,243.49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392,841.96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39,929.05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23.52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392,841.97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750,000.00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73,703.41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30.00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750,000.01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1,000,000.00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180,850.82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32.00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1,000,000.01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3,000,000.00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260,850.81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34.00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3,000,000.01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En adelante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940,850.81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E51C5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35.00</w:t>
            </w:r>
          </w:p>
        </w:tc>
      </w:tr>
    </w:tbl>
    <w:p w:rsidR="00F72AED" w:rsidRPr="00006F6F" w:rsidRDefault="00F72AED" w:rsidP="00F72AED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val="es-ES" w:eastAsia="es-MX"/>
        </w:rPr>
      </w:pPr>
      <w:r w:rsidRPr="00006F6F">
        <w:rPr>
          <w:rFonts w:ascii="Verdana" w:eastAsia="Times New Roman" w:hAnsi="Verdana"/>
          <w:b/>
          <w:sz w:val="16"/>
          <w:szCs w:val="16"/>
          <w:lang w:val="es-ES" w:eastAsia="es-MX"/>
        </w:rPr>
        <w:lastRenderedPageBreak/>
        <w:t>Tarifa para el cálculo del impuesto correspondiente al ejercicio de 2013</w:t>
      </w:r>
    </w:p>
    <w:p w:rsidR="00F72AED" w:rsidRDefault="00F72AED" w:rsidP="00F72AED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val="es-ES" w:eastAsia="es-MX"/>
        </w:rPr>
      </w:pPr>
      <w:r w:rsidRPr="00006F6F">
        <w:rPr>
          <w:rFonts w:ascii="Verdana" w:eastAsia="Times New Roman" w:hAnsi="Verdana"/>
          <w:b/>
          <w:sz w:val="16"/>
          <w:szCs w:val="16"/>
          <w:lang w:val="es-ES" w:eastAsia="es-MX"/>
        </w:rPr>
        <w:t>(DOF 31 de diciembre de 2012)</w:t>
      </w:r>
    </w:p>
    <w:p w:rsidR="00F72AED" w:rsidRPr="00006F6F" w:rsidRDefault="00F72AED" w:rsidP="00F72AED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val="es-ES" w:eastAsia="es-MX"/>
        </w:rPr>
      </w:pPr>
    </w:p>
    <w:p w:rsidR="00F72AED" w:rsidRPr="00EB09F6" w:rsidRDefault="00F72AED" w:rsidP="00F72AED">
      <w:pPr>
        <w:spacing w:after="0" w:line="240" w:lineRule="auto"/>
        <w:rPr>
          <w:rFonts w:ascii="Verdana" w:eastAsia="Times New Roman" w:hAnsi="Verdana"/>
          <w:sz w:val="16"/>
          <w:szCs w:val="16"/>
          <w:lang w:eastAsia="es-MX"/>
        </w:rPr>
      </w:pPr>
    </w:p>
    <w:tbl>
      <w:tblPr>
        <w:tblW w:w="812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00"/>
        <w:gridCol w:w="1997"/>
        <w:gridCol w:w="1882"/>
        <w:gridCol w:w="2642"/>
      </w:tblGrid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Límite inferior</w:t>
            </w:r>
          </w:p>
        </w:tc>
        <w:tc>
          <w:tcPr>
            <w:tcW w:w="1997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Límite superior</w:t>
            </w:r>
          </w:p>
        </w:tc>
        <w:tc>
          <w:tcPr>
            <w:tcW w:w="1882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Cuota fija</w:t>
            </w:r>
          </w:p>
        </w:tc>
        <w:tc>
          <w:tcPr>
            <w:tcW w:w="2642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Por ciento para aplicarse sobre el excedente del límite inferior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$</w:t>
            </w:r>
          </w:p>
        </w:tc>
        <w:tc>
          <w:tcPr>
            <w:tcW w:w="1997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$</w:t>
            </w:r>
          </w:p>
        </w:tc>
        <w:tc>
          <w:tcPr>
            <w:tcW w:w="1882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$</w:t>
            </w:r>
          </w:p>
        </w:tc>
        <w:tc>
          <w:tcPr>
            <w:tcW w:w="2642" w:type="dxa"/>
            <w:noWrap/>
            <w:hideMark/>
          </w:tcPr>
          <w:p w:rsidR="00F72AED" w:rsidRPr="00006F6F" w:rsidRDefault="00F72AED" w:rsidP="0022323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es-MX"/>
              </w:rPr>
            </w:pPr>
            <w:r w:rsidRPr="00006F6F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0.01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5,952.84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0.00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1.92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5,952.85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50,524.92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114.24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6.40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50,524.93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88,793.04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2,966.76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10.88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88,793.05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103,218.00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7,130.88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16.00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103,218.01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123,580.20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9,438.60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17.92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123,580.21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249,243.48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13,087.44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21.36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249,243.49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392,841.96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39,929.04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23.52</w:t>
            </w:r>
          </w:p>
        </w:tc>
      </w:tr>
      <w:tr w:rsidR="00F72AED" w:rsidRPr="00EB09F6" w:rsidTr="00223233">
        <w:trPr>
          <w:trHeight w:val="20"/>
        </w:trPr>
        <w:tc>
          <w:tcPr>
            <w:tcW w:w="1600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392,841.97</w:t>
            </w:r>
          </w:p>
        </w:tc>
        <w:tc>
          <w:tcPr>
            <w:tcW w:w="1997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 xml:space="preserve">En adelante </w:t>
            </w:r>
          </w:p>
        </w:tc>
        <w:tc>
          <w:tcPr>
            <w:tcW w:w="188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73,703.40</w:t>
            </w:r>
          </w:p>
        </w:tc>
        <w:tc>
          <w:tcPr>
            <w:tcW w:w="2642" w:type="dxa"/>
            <w:noWrap/>
            <w:hideMark/>
          </w:tcPr>
          <w:p w:rsidR="00F72AED" w:rsidRPr="00EB09F6" w:rsidRDefault="00F72AED" w:rsidP="00223233">
            <w:pPr>
              <w:spacing w:after="0" w:line="240" w:lineRule="auto"/>
              <w:ind w:right="240"/>
              <w:jc w:val="right"/>
              <w:rPr>
                <w:rFonts w:ascii="Verdana" w:eastAsia="Times New Roman" w:hAnsi="Verdana"/>
                <w:sz w:val="16"/>
                <w:szCs w:val="16"/>
                <w:lang w:eastAsia="es-MX"/>
              </w:rPr>
            </w:pPr>
            <w:r w:rsidRPr="00EB09F6">
              <w:rPr>
                <w:rFonts w:ascii="Verdana" w:hAnsi="Verdana" w:cs="Arial"/>
                <w:sz w:val="16"/>
                <w:szCs w:val="16"/>
              </w:rPr>
              <w:t>30.00</w:t>
            </w:r>
          </w:p>
        </w:tc>
      </w:tr>
    </w:tbl>
    <w:p w:rsidR="00F72AED" w:rsidRDefault="00F72AED" w:rsidP="00F72AED">
      <w:pPr>
        <w:spacing w:after="0" w:line="240" w:lineRule="auto"/>
      </w:pPr>
    </w:p>
    <w:p w:rsidR="00F72AED" w:rsidRDefault="00F72AED" w:rsidP="007E51C5">
      <w:pPr>
        <w:shd w:val="clear" w:color="auto" w:fill="FFFFFF"/>
        <w:spacing w:before="150" w:after="0" w:line="240" w:lineRule="auto"/>
        <w:outlineLvl w:val="0"/>
        <w:rPr>
          <w:rFonts w:ascii="Patua One" w:eastAsia="Times New Roman" w:hAnsi="Patua One" w:cs="Times New Roman"/>
          <w:color w:val="1D1C1A"/>
          <w:kern w:val="36"/>
          <w:sz w:val="48"/>
          <w:szCs w:val="48"/>
          <w:lang w:eastAsia="es-MX"/>
        </w:rPr>
      </w:pPr>
      <w:bookmarkStart w:id="0" w:name="_GoBack"/>
      <w:bookmarkEnd w:id="0"/>
    </w:p>
    <w:p w:rsidR="007E51C5" w:rsidRPr="007E51C5" w:rsidRDefault="007E51C5" w:rsidP="007E51C5">
      <w:pPr>
        <w:shd w:val="clear" w:color="auto" w:fill="FFFFFF"/>
        <w:spacing w:before="150" w:after="0" w:line="240" w:lineRule="auto"/>
        <w:outlineLvl w:val="0"/>
        <w:rPr>
          <w:rFonts w:ascii="Patua One" w:eastAsia="Times New Roman" w:hAnsi="Patua One" w:cs="Times New Roman"/>
          <w:color w:val="1D1C1A"/>
          <w:kern w:val="36"/>
          <w:sz w:val="48"/>
          <w:szCs w:val="48"/>
          <w:lang w:eastAsia="es-MX"/>
        </w:rPr>
      </w:pPr>
      <w:r w:rsidRPr="007E51C5">
        <w:rPr>
          <w:rFonts w:ascii="Patua One" w:eastAsia="Times New Roman" w:hAnsi="Patua One" w:cs="Times New Roman"/>
          <w:color w:val="1D1C1A"/>
          <w:kern w:val="36"/>
          <w:sz w:val="48"/>
          <w:szCs w:val="48"/>
          <w:lang w:eastAsia="es-MX"/>
        </w:rPr>
        <w:t>Tabla ISR 2012 anual</w:t>
      </w:r>
    </w:p>
    <w:p w:rsidR="007E51C5" w:rsidRPr="007E51C5" w:rsidRDefault="007E51C5" w:rsidP="007E51C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D1C1A"/>
          <w:sz w:val="24"/>
          <w:szCs w:val="24"/>
          <w:lang w:eastAsia="es-MX"/>
        </w:rPr>
      </w:pPr>
      <w:r w:rsidRPr="007E51C5">
        <w:rPr>
          <w:rFonts w:ascii="Arial" w:eastAsia="Times New Roman" w:hAnsi="Arial" w:cs="Arial"/>
          <w:color w:val="1D1C1A"/>
          <w:sz w:val="24"/>
          <w:szCs w:val="24"/>
          <w:lang w:eastAsia="es-MX"/>
        </w:rPr>
        <w:t>(DOF 5 de enero de 2012)</w:t>
      </w:r>
    </w:p>
    <w:tbl>
      <w:tblPr>
        <w:tblW w:w="118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48"/>
        <w:gridCol w:w="2036"/>
        <w:gridCol w:w="1847"/>
        <w:gridCol w:w="3444"/>
        <w:gridCol w:w="1091"/>
        <w:gridCol w:w="846"/>
      </w:tblGrid>
      <w:tr w:rsidR="007E51C5" w:rsidRPr="007E51C5" w:rsidTr="007E51C5">
        <w:trPr>
          <w:tblCellSpacing w:w="0" w:type="dxa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Límite inferior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Límite superior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Cuota fija</w:t>
            </w:r>
          </w:p>
        </w:tc>
        <w:tc>
          <w:tcPr>
            <w:tcW w:w="5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Por ciento para aplicarse sobre el excedente del límite inferior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 </w:t>
            </w:r>
          </w:p>
        </w:tc>
      </w:tr>
      <w:tr w:rsidR="007E51C5" w:rsidRPr="007E51C5" w:rsidTr="007E51C5">
        <w:trPr>
          <w:tblCellSpacing w:w="0" w:type="dxa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$</w:t>
            </w:r>
          </w:p>
        </w:tc>
        <w:tc>
          <w:tcPr>
            <w:tcW w:w="5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b/>
                <w:bCs/>
                <w:color w:val="1D1C1A"/>
                <w:sz w:val="24"/>
                <w:szCs w:val="24"/>
                <w:lang w:eastAsia="es-MX"/>
              </w:rPr>
              <w:t>%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 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0.01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5,952.84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0.00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1.92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5,952.85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50,524.92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114.24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6.40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50,524.93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88,793.04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2,966.76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10.88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88,793.05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103,218.00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7,130.88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16.00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103,218.01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123,580.20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9,438.60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17.92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123,580.21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249,243.48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13,087.44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21.36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249,243.49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392,841.96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39,929.04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23.52</w:t>
            </w:r>
          </w:p>
        </w:tc>
      </w:tr>
      <w:tr w:rsidR="007E51C5" w:rsidRPr="007E51C5" w:rsidTr="007E51C5">
        <w:trPr>
          <w:gridAfter w:val="2"/>
          <w:wAfter w:w="1481" w:type="dxa"/>
          <w:tblCellSpacing w:w="0" w:type="dxa"/>
        </w:trPr>
        <w:tc>
          <w:tcPr>
            <w:tcW w:w="27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392,841.97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En adelante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73,703.40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1C5" w:rsidRPr="007E51C5" w:rsidRDefault="007E51C5" w:rsidP="007E51C5">
            <w:pPr>
              <w:spacing w:after="0" w:line="240" w:lineRule="auto"/>
              <w:ind w:right="749"/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</w:pPr>
            <w:r w:rsidRPr="007E51C5">
              <w:rPr>
                <w:rFonts w:ascii="Arial" w:eastAsia="Times New Roman" w:hAnsi="Arial" w:cs="Arial"/>
                <w:color w:val="1D1C1A"/>
                <w:sz w:val="24"/>
                <w:szCs w:val="24"/>
                <w:lang w:eastAsia="es-MX"/>
              </w:rPr>
              <w:t>30.00</w:t>
            </w:r>
          </w:p>
        </w:tc>
      </w:tr>
    </w:tbl>
    <w:p w:rsidR="007E51C5" w:rsidRDefault="007E51C5"/>
    <w:sectPr w:rsidR="007E51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tua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C5"/>
    <w:rsid w:val="007E51C5"/>
    <w:rsid w:val="00DE7D85"/>
    <w:rsid w:val="00F7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5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E51C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E51C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5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E51C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E51C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2018-11-28T17:06:00Z</dcterms:created>
  <dcterms:modified xsi:type="dcterms:W3CDTF">2018-11-28T17:16:00Z</dcterms:modified>
</cp:coreProperties>
</file>